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казенное учреждение «Главный центр административно-хозяйственного и транспортного обеспечения Министерства внутренних дел Российской Федерации) обратилось в Арбитражный суд Московской области с иском к обществу о взыскании 681 222 руб. ущерба, 1338 руб. 24 коп. почтовых расходов, 6500 руб. расходов по экспертизе. К участию в деле в качестве третьего лица, не заявляющего самостоятельных требований относительно предмета спора, привлечен Карачёв Виталий Владимирович. Решением Арбитражного суда Московской области от 22.03.2020 исковые требования удовлетворены. Общество обратилось в Десятый арбитражный апелляционный суд с апелляционной жалобой на указанное решение суда, заявив ходатайство о восстановлении пропущенного процессуального срока. Десятый арбитражный апелляционный суд определением от 05.02.2021 возвратил апелляционную жалобу общества на основании пункта 3 части 1 статьи 264 Арбитражного процессуального кодекса Российской Федерации в связи с пропуском срока подачи жалобы и отказом в удовлетворении ходатайства о его восстановлении. 2 Постановлением Арбитражного суда Московского округа от 05.04.2021 определение апелляционного суда оставлено без изменения. В кассационной жалобе, поданной в Верховный Суд Российской Федерации, общество просит отменить определение суда апелляционной инстанции и постановление суда округа,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процессуального срока и возвращая обществу апелляционную жалобу, суд апелляционной инстанции руководствовался статьями 41, 117, 259, 264 Арбитражного процессуального кодекса Российской Федерации и исходил из того, что заявитель не привел уважительных причин пропуска срока на подачу жалобы. С указанными выводами впоследствии согласился суд округа. Доводы кассационной жалобы не опровергают выводы судов и не подтверждают существенных нарушений судами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«ТЭК РИТМ»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