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13.08.2020, оставленным без изменения постановлениями Семнадцатого арбитражного апелляционного суда от 12.11.2020 и Арбитражного суда Уральского округа от 11.03.2021,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плановой выездной проверки соблюдения обществом природоохранного законодательства в области обращения с отходами производства и потребления управлением выдано предписание от 11.06.2019 № 29-О/4. Предписанием управления на общество возложена обязанность устранить нарушения статьи 1, части 1 статьи 9 Федерального закона от 24.06.1998 № 89-ФЗ «Об отходах производства и потребления» (далее – Закон об отходах производства и потребления), пункта 30 части 1 статьи 12 Федерального закона от 04.05.2011 № 99-ФЗ «О лицензировании отдельных видов деятельности» (далее – Закон о лицензировании отдельных видов деятельности), выразившиеся в том, что при эксплуатации полигона твердых бытовых отходов общество осуществляет размещение (хранение) жидких отходов (фильтрата полигонов захоронения ТКО) в пруду-накопителе без лицензии на их размещение. Не согласившись с ненормативным правовым актом управления, общество обратилось в арбитражный суд. Исследовав обстоятельства дела и оценив имеющиеся доказательства, руководствуясь положениями Закона об отходах производства и потребления, Закона о лицензировании отдельных видов деятельности, Федерального закона от 10.01.2002 № 7-ФЗ «Об охране окружающей среды», Порядком отнесения отходов I-IV классов опасности к конкретному классу опасности, утвержденным приказом Министерства природных ресурсов и экологии Российской Федерации от 05.12.2014 № 54, принимая во внимание обстоятельства, установленные по результатам рассмотрения дела № 7-160/2018 Первомайским районным судом города Ижевска и дела № А71-21156/2017 Арбитражным судом Удмуртской Республики, суды пришли к выводу о том, что оспариваемое предписание является законным и исполнимым, не нарушает права и законные интересы заявителя. Судебные инстанции исходили из того, что фильтрат в пруду-накопителе относится к малоопасным отходам, при этом действие лицензии общества по осуществлению деятельности по размещению отходов не распространяется на жидкие отходы и ограничивается полигоном твердых бытовых отходов, не охватывая пруд-накопитель. Доводы, изложенные в кассационной жалобе, являлись предметом рассмотрения судов и получили надлежащую правовую оценку, направлены на 3 переоценку фактических обстоятельств спора, не опровергают выводы судов, не свидетельствуют о нарушении норм материального и (или) процессуального права при рассмотрении настоящего дела.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«Чистый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