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25.08.2020, оставленным без изменения постановлением Третьего арбитражного апелляционного суда от 24.12.2020, иск администрации удовлетворен. Постановлением Арбитражного суда Восточно-Сибирского округа от 20.04.2021 решение суда первой инстанции и постановление суда апелляционной инстанции отменены, в удовлетворении иска отказано. В кассационной жалобе, поданной в Верховный Суд Российской Федерации, администрация, ссылаясь на существенное нарушение норм права, несоответствие выводов суда кассационной инстанции фактическим обстоятельствам дела,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администрацией (заказчик) и обществом (исполнитель) заключен муниципальный контракт от 22.02.2018 на осуществление по регулируемым тарифам регулярных перевозок автомобильным транспортом по муниципальным маршрутам № 21, № 21а. В связи с невозможностью исполнения муниципального контракта по причине недостаточного финансирования и экономической нецелесообразности осуществления пассажирских перевозок исполнитель в одностороннем порядке отказался от исполнения контракта. В обоснование иска администрация ссылается на то, что в результате одностороннего отказа общества от исполнения обязательств по муниципальному контракту и необходимостью заключения в связи с этим иных контрактов, замещающих прекращенный, у администрации возникли убытки в виде разницы между ценой, установленной в прекращенном контракте, и ценой на соответствующие работы (услуги) по условиям замещающих контрактов. Удовлетворяя исковое требование, суды первой и апелляционной инстанций исходили из того, что заключенные администрацией сделки взамен прекращенного контракта являются замещающими (аналогичными), а выплаченные по ним суммы - убытками в смысле статьи 393.1 Гражданского кодекса Российской Федерации (далее – Гражданский кодекс). Суд кассационной инстанции счел выводы судов ошибочными. Отменяя решение суда первой и постановление суда апелляционной инстанций, суд округа, руководствуясь положениями статей 12, 393.1 Гражданского кодекса, принимая во внимание правовую позицию, изложенную в пункте 13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не усмотрел оснований для взыскания с общества спорных денежных средств. Суд кассационной инстанции исходил из отсутствия ненадлежащего исполнения обязательств со стороны исполнителя. При этом суд округа отметил, что условия прекращенного контракта и последующих (замещающих) контрактов в части формирования цены и объема оказываемых услуг не аналогичны, а суммы, подлежащие выплате по ним, по своей правовой природе являются субсидиями, которые устанавливаются 3 перевозчикам в целях компенсации их экономических потерь и не относятся к выплатам в рамках гражданско-правовой сделки. Возражения, изложенные в жалобе, с учетом установленных фактических обстоятельств, выводы суда кассационной инстанции не опровергают, не свидетельствуют о том, что судом допущены существенные нарушения норм материального права и (или) норм процессуального права, не позволившие всесторонне, полно и объективно рассмотреть дело, в связи с чем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Ачинска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