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«Уральская горно-металлургическая компания» обратилось в Арбитражный суд города Москвы с иском о взыскании с открытого акционерного общества «Российские железные дороги» 4 141 675 рублей 32 копеек убытков, причиненных в результате схода вагонов. К участию в деле в качестве третьего лица, не заявляющего самостоятельных требований относительно предмета спора, привлечено Страховое публичное акционерное общество «Ингосстрах». Решением Арбитражного суда города Москвы от 13.08.2020 в удовлетворении иска отказано. Постановлением Девятого арбитражного апелляционного суда от 17.11.2020 решение суда первой инстанции оставлено без изменения. Арбитражный суд Московского округа постановлением от 16.03.2021 указанные судебные акты оставил без изменения. Открытое акционерное общество «Уральская горно-металлургическая компания»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15, 393, 1064 Гражданского кодекса Российской Федерации, разъяснениями Пленума Верховного Суда Российской Федерации, изложенными в постановлении от 23.06.2015 № 25 «О применении судами некоторых положений раздела 1 части первой Гражданского кодекса Российской Федерации», и по результатам оценки представленных доказательств и обстоятельств дела пришли к выводу об отсутствии оснований для удовлетворения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«Уральская горно- металлургическая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