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24.09.2020, оставленным без изменения постановлениями Одиннадцатого арбитражного апелляционного суда от 01.12.2020 и Арбитражного суда Поволжского округа от 09.03.2021,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контракт от 28.08.2019 № 44/19-ДБУ на выполнение работ по созданию централизованной медицинской информационной системы «Управление льготным лекарственным обеспечением». Заказчиком 12.11.2019 принято решение об одностороннем отказе от исполнения контракта ввиду выполнения подрядчиком работ с недостатками, которые не могут быть устранены в приемлемый срок В обоснование иска общество ссылается на то, что на момент принятия заказчиком решения об отказе от исполнения контракта, обусловленного выполнением подрядчиком работ с недостатками, возможность устранения которых отсутствует, срок выполнения работ не истек, контракт полностью не исполнен по вине заказчика.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статей 450.1, 716, 719, 721, 740, 758, 763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иска. Судебные инстанции исходили из правомерности отказа заказчика от исполнения контракта. При исследовании обстоятельств дела установлено несоответствие предъявленных к приёмке работ условиям контракта; предоставленная обществу возможность устранить выявленные замечания не привела к иному результату, поскольку подрядчик по разработанной им программе и методике испытаний не продемонстрировал заказчику реализацию 65 % требований технического задания; обязательства по контракту в срок, установленный для устранения нарушений условий контракта, послуживших основанием для принятия решения об одностороннем отказе от исполнения контракта, подрядчиком не исполнены. 3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Судами не допущено существенного нарушения норм материального права, а также требований процессуального законодательства, повлиявших на исход дела.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«Бюро автоматизации сложных 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