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08.06.2020 первоначальный иск удовлетворен, во встречном иске отказано. Постановлением Восьмого арбитражного апелляционного суда от 26.08.2020 решение отменено: в удовлетворении первоначального иска отказано, встречный иск удовлетворен. Арбитражный суд Западно-Сибирского округа постановлением от 15.01.2021 постановление суда апелляционной инстанции оставил без изменения. В кассационной жалобе завод просит об отмене судебных актов апелляционного и окружного судов, ссылаясь на злоупотребление общества в оспаривании добровольно заключенного договора и неправомерное отнесение завода к субъектам естественной монополии.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силу договора от 01.01.2018 № 0020/2018 завод оказывает обществу услугу по пропуску вагонов через свой участок железнодорожного пути необщего пользования. Согласно постановлению Правительства Российской Федерации от 07.03.1995 № 239 О мерах по упорядочению государственного регулирования цен (тарифов)» органам исполнительной власти субъектов Российской Федерации предоставляется право вводить государственное регулирование тарифов и надбавок на транспортные услуги, оказываемые на подъездных железнодорожных путях хозяйствующими субъектами независимо от организационно-правовой формы Из приказа Региональной энергетической комиссии Омской области от 19.09.2017 № 137/51 «Об утверждении методических указаний по расчету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в Омской области» следует, что использование подъездного железнодорожного пути, в частности пропуск вагонов, отнесено к регулируемым услугам. Таким образом, выводы апелляционного суда об отсутствии у сторон правомочий на согласование цены за пропуск вагонов и отсутствии юридической силы у договорного условия о цене на такую услугу соответствуют статьям 424, 10, 168 Гражданского кодекса Российской Федерации. Реализация права на оспаривание не соответствующей закону сделки не может быть отнесена к недобросовестному поведению.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««Омский завод металлоконструкций»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