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определением Арбитражного суда Республики Татарстан от 04.08.2020, оставленным без изменения постановлением Одиннадцатого арбитражного апелляционного суда от 06.10.2020, удовлетворено заявление организации о взыскании судебных расходов, с должника в пользу организации взыскано 304 164 рубля 07 копеек судебных расходов, связанных с рассмотрением обособленного спора. Впоследствии организация обратилась в суд с заявлением о выдачи исполнительного листа. Определением Арбитражного суда Республики Татарстан от 19.10.2020, оставленным без изменения постановлениями Одиннадцатого арбитражного апелляционного суда от 22.12.2020 и Арбитражного суда Поволжского округа от 12.03.2021, отказано в удовлетворении заявления организации о выдаче исполнительного листа. В кассационной жалобе, поданной в Верховный Суд Российской Федерации, заявитель просит отменить указанные судебные акты, удовлетворить заявление о выдаче исполнительного листа.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заявления, суды, руководствуясь позицией, изложенной в пункте 18 постановление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отсутствия основания для удовлетворения заявления во внеочередном порядке.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Ярославской областной организации Общественной организации – Российскому профессиональному союзу работников химических отраслей промышленности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