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Макаров Валерий Викторович обратился в суд с заявлением о признании недействительными сделками перечислений денежных средств, совершенных с расчётного счёта должника на расчётный счёт Быховского А.С., в общем размере 14 079 000 рублей, применении последствий недействительности сделок. Определением Арбитражного суда города Москвы от 05.11.2019, оставленным без изменения постановлением Девятого арбитражного апелляционного суда от 28.01.2020, в удовлетворении заявленных требований отказано. Постановлением Арбитражного суда Московского округа от 26.05.2020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24.09.2020, оставленным без изменения постановлениями Девятого арбитражного апелляционного суда от 07.12.2020 и Арбитражного суда Московского округа от 31.03.2021, заявление удовлетворено, применены последствия недействительности сделок в виде взыскания с Быховского А.С. в пользу должника денежных средств в размере 14 079 000 рублей. 2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установив, что оспариваемые перечисления направлены на погашение займов, выданных заинтересованным лицом (участником должника), а также признав, что действительная правовая природа данных заёмных отношений носит корпоративный характер с целью докапитализации бизнеса в кризисной ситуации, пришли к выводу об обоснованности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Быховскому Александру Семеновичу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