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Стародубцев Сергей Анатольевич обратился в суд с жалобой на действия конкурсного управляющего должником Шадрина Александра Владиславовича, выразившиеся в заключении договора от 12.11.2019 № 32/19 на проведение работ по переработке давальческого сырья и материалов, заключенного заводом и обществом с ограниченной ответственностью «Тихий Дон-3000». Определением Арбитражного суда Ростовской области от 08.09.2020, оставленным без изменения постановлениями Пятнадцатого арбитражного апелляционного суда от 01.12.2020 и Арбитражного суда Северо-Кавказского округа от 02.03.2021, отказано в удовлетворении заявления. В кассационных жалобах, поданных в Верховный Суд Российской Федерации, заявители просят отменить указанные судебные акты, принять новый судебный акт об удовлетворении заявления или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статьи 20.3 Федерального закона от 26.10.2002 № 127-ФЗ «О несостоятельности (банкротстве)», пришли к выводу об отсутствии оснований для удовлетворения заявления ввиду недоказанности наличия в оспариваемых действиях Шадрина А.В. вменяемых ему нарушений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«Ломпром Шахты» и обществу с ограниченной ответственностью «Ломпром Саратов»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