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04.12.2020, оставленным без изменения постановлением Девятого арбитражного апелляционного суда от 27.01.2021 и постановлением Арбитражного суда Московского округа от 20.04.2021, первоначальный иск оставлен без рассмотрения в связи с несоблюдением досудебного порядка урегулирования спора, встречный иск удовлетворен. В кассационной жалобе предприниматель просит об отмене указанных судебных актов, ссылаясь на неосновательное оставление иска без рассмотрения, ошибочный вывод о незаключенности договора, отсутствие влияния статуса истца на судьбу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Необходимость соблюдения досудебного порядка в отношении требования о расторжении договора предусмотрена законом (пункт 2 статьи 452 Гражданского кодекса Российской Федерации), поэтому отсутствие его в требуемом виде не могло быть проигнорировано судом. Установленные судами обстоятельства появления оспариваемого договора уступки прав требования (цессии) от 01.10.2019 № 11-К в совокупности с установленными в ранее рассмотренных делах обстоятельствами повлекли выводы судов о том, что стороны не заключали договор в общепринятом порядке. Требуемое в жалобе изменение оценки правоотношений сторон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Баграмяну Едину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