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Суслов А.В. обратился в суд с заявлением о признании должника несостоятельным (банкротом), принятым к производству определением Арбитражного суда города Москвы от 16.06.2020. Определением Арбитражного суда города Москвы от 10.09.2020, оставленным без изменения постановлениями Девятого арбитражного апелляционного суда от 23.11.2020 и Арбитражного суда Московского округа от 18.02.2021, во введении наблюдения в отношении должника отказано; заявление оставлено без рассмотрения.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наблюдения и оставляя заявление без рассмотрения, суды, руководствуясь статьями 2, 4, 7, 33, 48 Федерального закона от 26.10.2002 № 127-ФЗ «О несостоятельности (банкротстве)», исходили из того, что требование заявителя о выплате действительной стоимости доли в уставном капитале должника вытекает из факта участия, в связи с чем не может учитываться для определения у него признаков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Суслову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