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Ахимшин Михаил Аркадьевич обратился в суд с заявлением о включении в третью очередь реестра требований кредиторов должника (далее – реестр) его требования в размере 36 631 850 рублей 44 копейки. Определением Арбитражного суда Московской области от 25.05.2020, оставленным без изменения постановлением Десятого арбитражного апелляционного суда от 29.10.2020, в удовлетворении заявленных требований отказано. Постановлением Арбитражного суда Московского округа от 26.01.2021 данные судебные акты отменены, обособленный спор направлен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71, 100 Федерального закона от 26.10.2002 № 127-ФЗ «О несостоятельности (банкротстве)», пунктами 24,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изложенные в них выводы основаны на неполном выяснении фактических и имеющих существенное значение для дела обстоятельств.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Веселову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