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Псковской области от 11.08.2020 иск удовлетворен. Постановлением Четырнадцатого арбитражного апелляционного суда от 03.11.2020 решение отменено в части взыскания 156 800 рублей штрафной неустойки в прекращением производства по делу в этой части, взыскано 308 000 рублей штрафной неустойки. Постановлением Арбитражного суда Северо-Западного округа от 04.03.2021 постановление апелляционного суда оставлено без изменения. 2 В кассационной жалобе общество «Торговый дом «Долина» просит об отмене судебных актов, ссылаясь на эксплуатационный характер дефекта и несоразмерность взысканной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по итогу исследования представленных и собранных доказательств установили производственный характер дефекта пресса, ответственность за который возложили на ответчика в силу статей 456, 469, 475, 506, 722 Гражданского кодекса Российской Федерации. Критериев для уменьшения неустойки суды не установили.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«Долина»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