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6 122 639 рублей 69 копеек. Определением Арбитражного суда Пермского края от 27.10.2020, оставленным без изменения постановлениями Семнадцатого арбитражного апелляционного суда от 24.12.2020 и Арбитражного суда Уральского округа от 19.03.2021, в удовлетворении заявленных требований отказано. В кассационной жалобе, поданной в Верховный Суд Российской Федерации, заявитель просит полностью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РФ от 22.06.2012 № 35 «О некоторых процессуальных вопросах, связанных с рассмотрением дел о банкротстве», исходили из недоказанности возникновения на стороне должника неисполненных обязательств перед обществом, в связи с чем пришли к выводу об отсутствии оснований для включения заявленного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«Сантехдеталь» Мурашко Алексею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