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Монин Евгений Николаевич обратился в суд с иском к бывшему конкурсному управляющему обществом с ограниченной ответственностью «Учебно-производственное хозяйство «Тетюшское» (далее – должник) Поляковой С.Д. о взыскании убытков в размере 1 118 900 рублей. Решением Арбитражного суда Республики Татарстан от 17.01.2020, оставленным без изменения постановлением Одиннадцатого арбитражного апелляционного суда от 13.03.2020, в иске отказано. Постановлением Арбитражного суда Поволжского округа от 07.07.2020 данные судебные акты отменены, обособленный спор направлен на новое рассмотрение в Арбитражный суд Республики Татарстан. При новом рассмотрении решением Арбитражного суда Республики Татарстан от 05.10.2020, оставленным без изменения постановлениями Одиннадцатого арбитражного апелляционного суда от 25.12.2020 и Арбитражного суда Поволжского округа от 03.03.2021, иск удовлетворён.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иск, суды, руководствуясь статьями 15, 456, 458, 459, 1064 Гражданского кодекса Российской Федерации, статьями 20.3, 20.4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доказанной совокупность условий, необходимых для привлечения заявителя к гражданско-правовой ответственности в виде взыскания убытков.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Поляковой Светлане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