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залоговый кредитор Чалапов Александр Андреевич обратился в суд с жалобой действия (бездействие) конкурсного управляющего должником Мажинского Д.П., требованием о взыскании с него убытков в размере 3 403 800 рублей. Определением Арбитражного суда Ростовской области от 25.08.2020 в удовлетворении жалобы отказано, требование удовлетворено в части взыскания с конкурсного управляющего убытков в размере 3 395 057 рублей. Постановлением Пятнадцатого арбитражного апелляционного суда от 26.01.2021, оставленным без изменения постановлением Арбитражного суда Северо-Кавказского округа от 12.04.2021, данное определение изменено в части взыскания убытков, с конкурсного управляющего взыскано 1 048 370 рублей 40 копеек убытков, в остальной части в удовлетворении требования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Исходя из доводов кассационной жалобы, заявитель не согласен с обжалуемыми судебными актами в части взыскания с него убытков.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первой инстанции, руководствуясь статьями 15, 53 Гражданского кодекса Российской Федерации, статьями 20.3, 20.4 Федерального закона от 26.10.2002 № 127-ФЗ «О несостоятельности (банкротстве)», исходил из доказанности возникновения на стороне должника убытков, возникших в результате действий (бездействия) конкурсного управляющего и беспрепятственного использования заинтересованным лицом обременённого залогом объекта недвижимости (производственного здания) без внесения в конкурсную массу соответствующей платы. Изменяя принятый по спору судебный акт, суды апелляционной инстанции и округа исходили из того, что при определении размера убытков следовало руководствоваться не расчётом залогового кредитора, а ранее представленным в дело отчётом об определении рыночной стоимости аренды имущества должника, поскольку содержащиеся в нём выводы учитывались при проведении торгов, определении начальной продажной стоимости и оставлении залоговым кредитором спорного объекта недвижимости за собой.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Мажинскому Дмитрию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