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01.11.2018 в отношении Добровольского И.Б. введена процедура реструктуризации долгов гражданина; требование публичного акционерного общества «МТС-Банк» в размере 105 733 953 рублей 04 копеек включено в третью очередь реестра требований кредиторов должника с учетом пункта 3 статьи 137 Федерального закона от 26.10.2002 № 127-ФЗ «О несостоятельности (банкротстве). Решением Арбитражного суда города Москвы от 26.07.2019 Добровольский И.Б. признан несостоятельным (банкротом), в отношении него введена процедура реализации имущества гражданина, финансовым управляющим утвержден Игнатов Д.А. Общество с ограниченной ответственностью «РусБизнесГрупп» обратилось в Арбитражный суд города Москвы с заявлением о процессуальном правопреемстве кредитора – ПАО «МТС-Банк» с требованием в размере 71 749 381 рубля 14 копеек. 2 Определением Арбитражного суда города Москвы от 17.06.2020 заявление о процессуальном правопреемстве удовлетворено. Постановлением Девятого арбитражного апелляционного суда от 26.10.2020 определение суда первой инстанции изменено в части размера требования, которое установлено в сумме 13 682 879 рублей 80 копеек; в остальной части определение суда оставлено без изменения. Арбитражный суд Московского округа постановлением от 15.03.2021 постановление суда апелляционной инстанции оставил без изменения. Общество с ограниченной ответственностью «РусБизесГрупп» (кредитор)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поручительство Добровольского И.Б., Ленского Е.В., ЗАО «Синемаменеджмент», ООО «Люксор Синемакс», ЗАО «Синемалюкс» и ООО «Люксор Дистрибьюшн» совместным, определив размер доли, выпадающей на каждого из лиц, выдавших обеспечение, руководствуясь положениями статей 323, 325, 363, 365, 387 Гражданского кодекса Российской Федерации, суд апелляционной инстанции сделал вывод о том, что к ООО «РусБизесГрупп» перешло право требования по основному обязательству к поручителю – Добровольскому И.Б. в сумме, соответствующей доле последнего в обеспечении обязательства. 3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«РусБизесГрупп»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