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16.10.2020, оставленным без изменения постановлением Девятого арбитражного апелляционного суда от 10.12.2020, иск удовлетворен. Арбитражный суд Московского округа постановлением от 29.03.2021 решение от 16.10.2020 и постановление Девятого арбитражного апелляционного суда от 10.12.2020 оставил без изменения. В кассационной жалобе компания просит об отмене судебных актов, ссылаясь на игнорирование обстоятельств заключения договоров с целью формирования подконтрольной кредиторской задолженности для последующего банкротства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реальный характер займов, поэтому удовлетворили иск на основании статей 807, 810 Гражданского кодекса Российской Федерации удовлетворение иска. Условий, в частности неудовлетворительного финансового положения ответчика, наличия кредиторов, при которых для оценки правоотношений сторон применяются обозначенные заявителем позиции, суды не установили.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коммерческой компании Евроинвест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