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29.09.2020, оставленным без изменения постановлением Девятого арбитражного апелляционного суда от 15.12.2020, иск удовлетворен. Арбитражный суд Московского округа постановлением от 11.03.2021 решение от 29.09.2020 и постановление Девятого арбитражного апелляционного суда от 15.12.2020 оставил без изменения. В кассационной жалобе служба просит об отмене судебных актов, ссылаясь на неосновательный отказ в назначении экспертизы на предмет определения обоснованности расходов на восстановительный ремонт, игнорирование довода об освобождении в силу закона от уплаты государственной пошлины.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Доводы, связанные с оспариванием размера требований, компетенции судов по вопросам доказывания и оценки доказательств, не отвечают критериям оснований для кассационного пересмотра судебных актов. Служба освобождена от уплаты государственной пошлины в бюджет, но не от компенсации понесенных противной стороной, требования которой удовлетворены, расходов на уплату государственной пошлины в качестве судебных расходов по правилу статьи 101, 110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охраны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