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Частное охранное предприятие «Вихрь» обратилось в Арбитражный суд Сахалинской области с иском о взыскании с муниципального казенного предприятия «Городской водоканал» 7 251 840 рублей задолженности по договору оказания охранных услуг за ноябрь, декабрь 2017 года.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Частное охранное предприятие «Вихрь» (ИНН 6501105291). Решением Арбитражного суда Сахалинской области от 22.07.2020 в удовлетворении иска отказано. Постановлением Пятого арбитражного апелляционного суда от 30.11.2020 решение суда первой инстанции отменено, иск удовлетворен в части взыскания 4 110 240 рублей задолженности и 33 587 рублей судебных 2 расходов по уплате государственной пошлины; в удовлетворении иска в остальной части отказано. Арбитражный суд Дальневосточного округа постановлением от 15.03.2021 постановление суда апелляционной инстанции отменил и направил дело на новое рассмотрение в Пятый арбитражный апелляционный суд. Общество с ограниченной ответственностью Частное охранное предприятие «Вихрь»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принятое постановление и направляя дело на новое рассмотрение в Пятый арбитражный апелляционный суд для установления обстоятельств, имеющих значение для разрешения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3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«Вихрь»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