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Суслов Виталий Андреевич обратился в суд с заявлением о признании недействительными сделками двух соглашений о разделе совместно нажитого имущества от 20.03.2015, заключенных между должником и его супругой; применении последствий недействительности сделок. Определением Арбитражного суда города Москвы от 20.07.2020, оставленным без изменения постановлениями Девятого арбитражного апелляционного суда от 07.10.2020 и Арбитражного суда Московского округа от 09.03.2021, заявление удовлетворено. В кассационных жалобах, поданных в Верховный Суд Российской Федерации, заявители просят отменить названные судебные акты и принять по делу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статьями 10, 168 Гражданского кодекса Российской Федерации, статьями 36, 40 Семейного кодекса Российской Федерации, статьями 61.1, 213.32 Федерального закона от 26.10.2002 № 127-ФЗ «О несостоятельности (банкротстве)», пришли к выводам о доказанности совокупности условий для признания недействительными оспариваемых соглашений, заключенных с целью организованного вывода активов перед совершением должником обеспечительных сделок под выдачу кредитов подконтрольным ему предприятиям.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Федюк Марине Витальевне и Федюку Борису Анатольевичу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