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15.07.2020, оставленным без изменения постановлением Девятого арбитражного апелляционного суда от 05.11.2020, в удовлетворении иска отказано. Арбитражный суд Московского округа постановлением от 12.03.2021 решение от 15.07.2020 и постановление Девятого арбитражного апелляционного суда от 05.11.2020 оставил без изменения. В кассационной жалобе общество «ОТЭКО» просит об отмене судебных актов, ссылаясь на нарушение в применении норм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ремонт вагонов осуществлен ответчиком (подрядчиком) на основании договора с истцом (заказчиком), следовательно, понесенные в связи с некачественным выполнением работ расходы возмещаются в рамках порядных правоотношений, к которым применяется установленный пунктом 1 статьи 725 Гражданского кодекса Российской Федерации срок исковой давности. Исчисление срока давности по иску в связи с недостатками работ является правильным, учитывая, что заказчик должен быть уведомлен о выявленных недостатках третьим лицом, с которым состоит по поводу вагонов в арендных отношениях.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«ОТЭКО»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