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Московской области от 13.07.2020, оставленным без изменения постановлением Десятого арбитражного апелляционного суда от 26.11.2020 и постановлением Арбитражного суда Московского округа от 09.03.2021, в удовлетворении иска отказано. В кассационной жалобе общество просит о частичной отмене судебных актов, ссылаясь на несоответствие переданного товара согласованным характеристикам, повлекшее требуемые расходы.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содержание обязательств сторон и проверили на соответствие им предложенное ответчиком исполнение. Установив исполнение предпринимателем обязательства по поставке матрасов на согласованных условиях и применив к установленным обстоятельствам статьи 431, 435, 437, 438, 464 Гражданского кодекса Российской Федерации, суды признали требования не подлежащими удовлетворению. Требуемое в жалобе изменение оценки обстоятельств дела не отвечает критериям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«Арсеан»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