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10.02.2020, оставленным без изменения постановлением Девятого арбитражного апелляционного суда от 23.10.2020 и постановлением Арбитражного суда Московского округа от 03.03.2021, иск удовлетворен. В кассационной жалобе компания просит об отмене судебных актов как основанных на недопустимых доказательствах в отсутствие проверки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установив оказание истцом услуг и неоплату их компанией, удовлетворили иск в соответствии со статьями 779,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«ВТБ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