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Сахалинской области от 29.07.2020, оставленным без изменения постановлением Пятого арбитражного апелляционного суда от 13.11.2020, иск удовлетворен. Арбитражный суд Дальневосточного округа постановлением от 01.03.2021 решение от 29.07.2020 и постановление Пятого арбитражного апелляционного суда от 13.11.2020 оставил без изменения. В кассационной жалобе пароходство просит об отмене судебных актов, ссылаясь на ссылаясь на недоказанность его вины в просрочке доставки груза.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 пароходства о том, что представленные истцом копии передаточных ведомостей в отсутствие в них календарных штемпелей являются ненадлежащим доказательством передачи груза, рассмотрен судами и признан неосновательным, поскольку передаточные ведомости содержат необходимые для определения начала ответственности пароходства за своевременную доставку груза сведения.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открытому акционерному обществу «Сахалинское морское пароходство»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ОАО "Российские железные дороги" (подробнее) Ответчики: ОАО "Сахалинское морское пароходство"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