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Карелия от 25.08.2020, оставленным без изменения постановлением Тринадцатого арбитражного апелляционного суда от 09.12.2020, исковые требования удовлетворены. Постановлением Арбитражного суда Северо-Западного округа от 24.03.2021 решение и постановление апелляционной инстанции изменены дополнением обязания истца возвратить имущество. В кассационной жалобе общество «Карго Мобил Рус» просит о пересмотре судебных актов, ссылаясь на недоказанность наличия у товара существенных недостатков и обязание возвратить имущество при неразрешенном вопросе о расторжении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доказанным поставку ответчиком некачественного товара, влекущую в силу 454, 469, 475 Гражданского кодекса Российской Федерации примененные последствия. Доводы рассматриваемой жалобы повторяют доводы, заявленные судам и получившие правовую оценку.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«Карго Мобил Рус»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