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23.07.2020 исковые требования удовлетворены. Десятый арбитражный апелляционный суд определением от 08.10.2020 перешел к рассмотрению дела по правилам суда первой инстанции; постановлением от 10.12.2020 отменил решение суда первой инстанции и удовлетворил исковые требования. Постановлением Арбитражного суда Московского округа от 13.04.2021 постановление суда апелляционной инстанции оставлено без изменения. В кассационной жалобе, поданной в Верховный Суд Российской Федерации, предприниматель, ссылаясь на нарушение судами норм материального и процессуального права, просит отменить указанные судебные акты в части взыскания неустойки и процентов за пользование чужими денежными средствами.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Принимая судебные акты в обжалуемой части, суды руководствовались статьями 309, 310, 330, 395 Гражданского кодекса Российской Федерации, разъяснениями, изложенными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и исходили из установленного факта нарушения предпринимателем (исполнитель) срока поставки оборудования, за которое пунктом 5.2 договора предусмотрена ответственность в виде неустойки, а также необоснованного удержания им перечисленных третьим лицом (передавшим право требования истцу по договору уступки) денежных средств, доказательств возврата которых не представлено. Доводов, подтверждающих существенные нарушения норм материального и процессуального права, которые могли повлиять на исход дела и являются 3 достаточным основанием для пересмотра обжалуемых судебных актов в кассационном порядке, в кассационной жалобе не приведено.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Стараева Сергея Валентиновича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