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27.10.2020, оставленным без изменения постановлением Седьмого арбитражного апелляционного суда от 23.12.2020 и постановлением Арбитражного суда Западно-Сибирского округа от 02.04.2021,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предприниматель обратился в суд с исковым заявлением об урегулировании разногласий и понуждении общества (региональный оператор) к заключению договора на оказание услуг по обращению с твердыми бытовыми отходами, в котором просил в пункте 3 договора датой начала оказания соответствующих услуг указать дату вступления в силу решения суда или определения об утверждении мирового соглашения по делу; в пункте 1 в приложении № 1 к договору в наименовании категории объекта административные, офисные учреждения отразить норматив накопления твердых коммунальных отходов, относящийся к категории недвижимого имущества – 1, 641 м3/год, количество единиц – 1 сотрудник; в приложении № 2 к договору изложить формулу расчета с учетом данных параметров и добавить информацию в графическом виде о размещении мест накопления твердых коммунальных отходов и подъездных путей к ним.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210, 421, 426, 445 Гражданского кодекса Российской Федерации, Федеральным законом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1156, установив, что с предложением о заключении договора на вывоз твердых коммунальных отходов на иных условиях предприниматель обратился к обществу в период действия соответствующего типового договора, не расторгнутого сторонами; предприниматель сдает принадлежащие ему на праве собственности нежилые помещения в аренду множеству арендаторов, ни один из которых не заключил с региональным оператором договора по обращению с твердыми коммунальными отходами, учитывая уклонение предпринимателя от предоставления информации о заключенных им договорах аренды, непредставление им сведений о количестве сотрудников у арендаторов, принимая во внимание, что действующим законодательством на общество не возложена обязанность по розыску сведений об имеющихся у истца арендаторах,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3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Певнева Алексея Андреевича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