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21.09.2020, оставленным без изменения постановлением Пятнадцатого арбитражного апелляционного суда от 26.11.2020 и постановлением Арбитражного суда Северо-Кавказского округа от 03.03.2021, исковые требования удовлетворены. В кассационной жалобе, поданной в Верховный Суд Российской Федерации, компания, ссылаясь на нарушение судами норм материального и процессуального права, просит отменить указанные судебные акты и принять новый судебный акт об отказе в удовлетворении исковых требований или направить дело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учитывая обстоятельства, установленные вступившими в законную силу судебными актами по делу № А53-31448/2018, признав подтвержденным наличие у компании задолженности по спорному договору, принимая во внимание отсутствие доказательств завышения объемов и некачественного выполнения либо невыполнения обществом работ по нанесению антикоррозийной защиты на металлоконструкции, руководствуясь статьями 309, 310, 329, 330, 421, 431, 469, 475, 476, 506, 516, 709 Гражданского кодекса Российской Федерации, разъяснениями, приведенными в постановлении Пленума Высшего Арбитражного Суда Российской Федерации от 14.03.2014 № 16 «О свободе договора», суды первой и апелляционной инстанций пришли к выводу об обоснованности исковых требований, с чем впоследствии согласился суд округа. Доводы кассационной жалобы не опровергают выводы судов,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«Тиссен Шахтбау ГмбХ» в лице филиала в г. Соликамске Пермского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