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04.08.2020, оставленным без изменения постановлением Семнадцатого арбитражного апелляционного суда от 12.11.2020 и постановлением Арбитражного суда Уральского округа от 10.03.2021, с общества в пользу предпринимателя взыскано 789 069 руб. задолженности, 153 868 руб. 45 коп. неустойки, в удовлетворении остальной части исковых требований отказано.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предпринимателя мотивированы ненадлежащим исполнением обществом обязательств по оплате работ, выполненных в рамках договора от 16.10.2018 № 1016.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предпринимателем работ и направления им актов о приемке выполненных работ обществу, которое со своей стороны эти акты не подписало, мотивированного отказа от их подписания не заявило, как и претензий относительно качества и объема выполненных работ, суды первой и апелляционной инстанций признали выполненные предпринимателем работы принятыми. Установив, что при заключении договора стороны не подписали приложение к нему, в котором указаны виды работ и их стоимость, при этом данное приложение было получено ответчиком позже по почте в подлиннике и в электронном виде на электронный адрес, в нем и в актах выполненных работ приведены расценки за выполненные работы; общество согласилось с предложенными предпринимателем условиями, поскольку приняло работы, использовало их при сдаче работ своим заказчикам и производило их частичную оплату, определив стоимость выполненных работ с учетом судебной экспертизы, руководствуясь статьями 309, 310, 329, 330, 438, 702, 703, 708, 709, 711, 720, 753 Гражданского кодекса Российской Федерации, суды частично удовлетворили исковые требования. Суд округа согласился с выводами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