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требований в размере 9 147 477 рублей 81 копейки. Определением Арбитражного суда города Москвы от 30.09.2020 признано обоснованным с удовлетворением за счёт имущества, оставшегося после удовлетворения требований кредиторов, включенных в реестр. Постановлением Девятого арбитражного апелляционного суда от 18.01.2021 изменено определение суда первой инстанции от 30.09.2020, вышеуказанные требования включены в третью очередь реестра. Постановлением Арбитражного суда Дальневосточного округа от 12.04.2021 отменено постановление апелляционного суда от 18.01.2021, оставлено в силе определение от 30.09.2020.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статьи 19 Федерального закона от 26.10.2002 № 127-ФЗ «О несостоятельности (банкротстве)»,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пришёл к мотивированному выводу о необходимости субординации требований общества. Отменяя постановление апелляционного суда и оставляя в силе определение суда первой инстанции, суд округа, согласился с выводами суда первой инстанции, указав на отсутствие опровержения факта компенсационного финансирования.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«Сварго Констракшн»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