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22.06.2021 обратился в Верховный Суд Российской Федерации с жалобой на определение судьи Верховного Суда Российской Федерации от 25.05.2021 № 305-ЭС21-6712 и постановление Арбитражного суда Московского округа от 05.02.2021 по делу № А40-4570/2020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291.2, 308.1 и 312 указанного Кодекса предельные допустимые сроки для его восстановления. Рассмотрев ходатайство, судья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«ПИК-Комфорт»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