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«Строительная компания «Империя» (далее – компания) обратилось в суд с заявлением о включении в реестр требований кредиторов требования в размере 10 675 317 рублей. Определением Арбитражного суда города Санкт-Петербурга и Ленинградской области от 07.09.2018 заявление удовлетворено. Постановлением Тринадцатого арбитражного апелляционного суда от 29.04.2019, оставленным без изменения постановлением Арбитражного суда Северо-Западного округа от 21.08.2019, вышеуказанное определение отменено в части признания обоснованным и включения в реестр требования компании в размере 2 853 450 рублей. В данной части принят новый судебный акт об отказе в удовлетворении названного требования. В остальной части определение суда первой инстанции от 07.09.2018 оставлено без изменения. В кассационной жалобе, поданной в Верховный Суд Российской Федерации, заявитель просит полностью отменить определение суда первой инстанции, постановления судов апелляционной инстанции и округа в части удовлетворённых требований компании,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391 , 807 Гражданского кодекса Российской Федерации, статей 71,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наличия неисполненных должником обязательств перед компанией и, как следствие, оснований для включения её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Последние документы по делу: Определение от 20 декабря 2019 г. по делу № А56-21699/2017 Определение от 12 декабря 2019 г. по делу № А56-21699/2017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