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его требований в размере 6 880 757 рублей 02 копейки. Определением Арбитражного суда города Москвы от 30.09.2020 отказано в удовлетворении заявления. Постановлением Девятого арбитражного апелляционного суда от 18.01.2021 отменено определение суда первой инстанции от 30.09.2020, заявление удовлетворено. Постановлением Арбитражного суда Дальневосточного округа от 12.04.2021 отменено постановление апелляционного суда от 18.01.2021, оставлено в силе определение от 30.09.2020.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положениями статей 19, 71 и 100 Федерального закона от 26.10.2002 № 127-ФЗ «О несостоятельности (банкротстве)», согласился с выводами суда первой инстанции об отсутствии оснований для включения требования заявителя в реестр ввиду недоказанности реальности отношений, положенных в основу требований общества к должнику.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«Сварго Инжиниринг»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