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Давыдов Юрий Алексеевич и Давыдова Ирина Григорьевна обратились в суд с заявлениями, объединёнными в одно производство для совместного рассмотрения, о включении в реестр требований кредиторов должника (далее – реестр) их требований в размере 31 531 504 рубля 62 копейки. Определением Арбитражного суда Самарской области от 22.10.2020, оставленным без изменения постановлениями Одиннадцатого арбитражного апелляционного суда от 29.12.2020 и Арбитражного суда Поволжского округа от 18.03.2021, в удовлетворении заявлений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Самарской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характер взаимоотношений сторон по частичному погашению долга перед внешним кредитором указывал на наличие скрытого договора покрытия, исключающего суброгацию и лишающего аффилированного заявителя права требовать включения его требования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Давыдову Юрию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