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ТД «ВЭЛВ» (лицо, чьим правопреемником является кредитор) обратилось в суд с жалобой на действия (бездействие) конкурсного управляющего должником ФИО1, требованием об отстранении указанного лица от исполнения возложенных на него обязанностей. Определением Арбитражного суда города Санкт – Петербурга и Ленинградской области от 16.07.2020, оставленным без изменения постановлениями Тринадцатого арбитражного апелляционного суда от 18.12.2020 и Арбитражного суда Северо-Западного округа от 09.03.2021, в удовлетворении заявленных требований отказано. В кассационной жалобе, поданной в Верховный Суд Российской Федерации, заявитель просит отменить данные судебные акты и принять по делу новый судебный акт об удовлетворении заявленных требований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60, 129, 143 Федерального закона от 26.10.2002 № 127-ФЗ «О несостоятельности (банкротстве)», не установили фактов недобросовестного поведения конкурсного управляющего, незаконности его действий (бездействия), нарушения прав и законных интересов должника, заявителя и иных кредиторов, а также оснований для отстранения от исполнения возложенных на него обязанностей.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«Региональная служба взысканий»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"СпецСтройМонтаж" (подробнее) ООО ТД "ВЭЛВ" (подробнее) ООО "ТехноИнвестПсков" (подробнее) ООО "УМ-332" (подробнее) Ответчики: ООО "ПСК Энерго" (подробнее) Иные лица: АО ЭЛЕКТРОЦЕНТРМОНТАЖ (подробнее) мифнс 23 (подробнее) ООО "ВЫСОТА-31" (подробнее) ООО "Инженерные технологии строительства" (подробнее) ООО "КИТ-технолоджи" (подробнее) ООО "ПОЛИПЛАСТИК Центр" (подробнее) ООО "ЭНЕРГО КАПИТАЛ" (подробнее) ПАО "БАНК "УРАЛСИБ" (подробнее) Управление Федеральной службы государственной регистрации, кадастра и картографии по Санкт-Петербургу (подробнее) Федеральная налоговая служба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