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недействительными решений, принятых 18.08.2020 на собрании кредиторов. Определением Арбитражного суда города Москвы от 29.12.2020, оставленным без изменения постановлением Девятого арбитражного апелляционного суда от 24.03.2021, заявление признано частично обоснованным. Признаны недействительными решения собрания кредиторов в части пункта 1 дополнительного вопроса, возлагающего на кредитора, инициировавшего оспаривание сделок купли-продажи транспортных средств, расходы по оценке, содержанию, ремонту и реализации данных транспортных средств. В остальной части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 13, 15, 20.3 Федерального закона от 26.10.2002 № 127-ФЗ «О несостоятельности (банкротстве)», исходили из того, что процедура созыва и порядок извещения участников собрания (включая заявителя) нарушены не были, действия финансового управляющего соотносились с нормами действующего законодательства, оспариваемые решения приняты при наличии кворума, но один из дополнительных вопросов повестки дня, необоснованно возлагающий на кредитора бремя несения расходов, связанных с хранением и реализацией имущества должника, принят за пределами компетенции собрания кредиторов. В остальной части оспариваемые решения собрания кредиторов приняты в пределах компетенции собрания, не нарушали права и законных интересов заявителя, иных кредиторов 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Гасанову Эльхану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