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07.08.2020, оставленным без изменения постановлениями Семнадцатого арбитражного апелляционного суда от 07.12.2020 и Арбитражного суда Уральского округа от 15.03.2021, в удовлетворении заявленного требования отказано. В кассационной жалобе учреждение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проведения контрольного мероприятия по проверке использования межбюджетных трансфертов, предоставленных из областного бюджета бюджету Новоуральского городского округа в 2016-2018 годах, счетной палатой вынесено предписание. Предписанием на учреждение возложена обязанность по возврату в областной бюджет незаконно использованных средств межбюджетных трансфертов и субсидий в сумме 25 574 198 рублей 18 копеек. Не соглашаясь с указанным ненормативным правовым актом, учреждение обратилось в арбитражный суд с соответствующим заявлением. Исследовав и оценив представленные в материалы дела доказательства, руководствуясь положениями Бюджетного кодекса Российской Федерации, Налогового кодекса Российской Федерации,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Закона Свердловской области от 12.07.2011 № 62-03 «О Счетной палате Свердловской области и контрольно-счетных органах муниципальных образований, расположенных на территории Свердловской области», суды пришли к выводу о том, что оспариваемое предписание выдано уполномоченным органом, соответствует требованиям действующего законодательства, не нарушает права и законные интересы заявителя. Судебные инстанции исходили из незаконного перечисления подрядчикам бюджетных средств в связи с исключением затрат на уплату налога на добавленную стоимость (далее - НДС) из расчета стоимости работ и применением коэффициента, не соответствующего аукционному коэффициенту. При исследовании обстоятельств дела установлено, что спорными действиями учреждение изменило структуру цены контрактов и применило повышающий коэффициент, не предусмотренный аукционной документацией или не соответствующий аукционному коэффициенту, установленному по результатам электронного аукциона, в нарушение требований части 2 статьи 34, статьи 95 Закона о контрактной системе. Доводы учреждения относительно выводов судов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«Управление капитального строительства»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"УПРАВЛЕНИЕ КАПИТАЛЬНОГО СТРОИТЕЛЬСТВА" НОВОУРАЛЬСКОГО ГОРОДСКОГО ОКРУГА (подробнее) ООО "РУКОР" (подробнее) Ответчики: ОСП СЧЕТНАЯ ПАЛАТА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