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третью очередь реестра требований кредиторов должника (далее – реестр) его требований в размере 12 121 855 рублей 73 копейки, в том числе: 3 023 437 рублей 54 копейки – основной долг, 7 106 923 рубля 21 копейка – плата за пользование коммерческим кредитом, 1 386 807 рублей 48 копеек – неустойка, 604 687 рублей 50 копеек – штраф, из них учесть отдельно 1 386 807 рублей 48 копеек неустойки и 604 687 рублей 50 копеек – штрафа. Определением Арбитражного суда Тульской области от 17.08.2020, оставленным без изменения постановлениями Двадцатого арбитражного апелляционного суда от 09.12.2020 и Арбитражного суда Центрального округа от 01.03.2021, заявление удовлетворено частично, признаны обоснованными и подлежащими включению в третью очередь реестра требования в размере 9 705 234 рубля 49 копеек, из них: основной долг – 3 023 437 рублей 54 копейки, неустойка – 6 077 109 рублей 45 копеек, штрафы – 604 687 рублей 50 копеек. Отказано в удовлетворении остальной части требований. 2 В кассационной жалобе, поданной в Верховный Суд Российской Федерации, заявитель просит отменить указанные судебные акты в части отказа в удовлетворении заявления о включении в реестр требований, касающихся платы за пользование коммерческим кредитом,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431, 809 и 823 Гражданского кодекса Российской Федерации, обоснованно исходили из отсутствия оснований для удовлетворения требований в указанной части.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установил: отказать обществу с ограниченной ответственностью «Акрол-Агросервис»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