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Камендровский П.И. обратился в суд с заявлением о включении требования в размере 538 315 рублей в третью очередь реестра требований кредиторов должника. Определением Арбитражного суда Самарской области от 24.10.2020, оставленным без изменения постановлениями Одиннадцатого арбитражного апелляционного суда от 16.12.2020 и Арбитражного суда Поволжского округа от 29.03.2021,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15 и 1064 Гражданского кодекса Российской Федерации, пришли к обоснованному выводу о недоказанности причин для удовлетворения требований по заявленным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Камендровскому Петру Ивановичу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