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учреждение обратилось в суд с иском о привлечении к субсидиарной ответственности Гришина Романа Юрьевича по обязательствам общества с ограниченной ответственностью «Макси-Групп» и взыскании 2 193 977 рублей 66 копеек убытков. Решением Арбитражного суда Новосибирской области от 24.07.2020, оставленным без изменения постановлениями Седьмого арбитражного апелляционного суда от 27.10.2020 и Арбитражного суда Западно-Сибирского округа от 26.02.2021, в иске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иске, суды, руководствуясь статьями 53.1, 64.2 Гражданского кодекса Российской Федерации, разъяснениями, содержащимися в постановлениях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совокупности условий для возникновения у ответчика обязанности возмещения заявителю убытков.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автономному учреждению «Управление лесного хозяйства» Министерства обороны Российской Федерации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