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договора о переводе долга от 29.01.2018 по генеральному договору № 0277 от 01.12.2009, заключенному между акционерным обществом «Синемаменеджмент», должником и обществом с ограниченной ответственностью «Юниверсал Пикчерс Интернэшл»; признании недействительным перечислений должником в пользу общества «Юниверсал Пикчерс Интернэшл» денежных средств на общую сумму 12 114 494 рубля 83 копейки; применении последствий недействительности сделок. Определением Арбитражного суда города Москвы от 15.07.2020, оставленным без изменения постановлениями Девятого арбитражного апелляционного суда от 23.12.2020 и Арбитражного суда Московского округа от 17.03.2021, в удовлетворении заявления отказано. В кассационной жалобе, поданной в Верховный Суд Российской Федерации, заявитель просят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575 Гражданского кодекса Российской Федерации, статьями 61.2, 61.3, 61.4 Федерального закона от 26.10.2002 № 127-ФЗ «О несостоятельности (банкротстве)», не установили совокупности условий для признания недействительными оспариваемых сделок по заявленным конкурсным управляющим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«Люксор Дистрибьюшн» Иванову Николаю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