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Бреднев В.А. обратился в суд с заявлением о включении в реестр требований кредиторов должника (далее – реестр) требования в размере 130 656 620 рублей 19 копеек. Определение Арбитражного суда города Санкт-Петербурга и Ленинградской области от 05.11.2019, оставленным без изменения постановлением Тринадцатого арбитражного апелляционного суда от 03.08.2020, требование признано обоснованным и подлежащим включению в третью очередь реестра. Постановлением Арбитражного суда Северо-Западного округа от 25.02.2021 данные судебные акты изменены, требование заявителя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принятые по делу судебные акты и понижая очерёдность удовлетворения требования заявителя, суд округа, руководствуясь статьями 71, 100, 142 Федерального закона от 26.10.2002 № 127-ФЗ «О несостоятельности (банкротстве)», исходил из того, что оно направлено на возврат компенсационного финансирования, ранее предоставленного контролирующим должника лицом в ситуации имущественного кризиса, в связи с чем не может конкурировать с требованиями иных (независимых) кредиторов.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Бредневу Вячеславу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