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«Паллада 21» (далее – общество) обратилось в суд с заявлением о включении в реестр требований кредиторов должника (далее – реестр) 10 21 677 рублей 11 копеек основного долга и процентов за пользование займом. Определением Арбитражного суда Московской области от 25.12.2019 в удовлетворении заявленных требований отказано. Постановлением Десятого арбитражного апелляционного суда от 19.11.2020, оставленным без изменения постановлением Арбитражного суда Московского округа от 22.03.2021, данное определение отменено; заявление удовлетворено.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направить дело на новое рассмотрение в Арбитражный суд Московской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статьями 2, 71, 100, 142 Федерального закона от 26.10.2002 № 127-ФЗ «О несостоятельности (банкротстве)», пунктом 6.2 Обзора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утвержденного Президиумом Верховного Суда Российской Федерации 29.01.2020, установили наличие оснований для включения заявленного требования в реестр.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«Частное охранное предприятие «Правопорядок»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