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Балятин В.С. обратился в суд с заявлением об истребовании из незаконного владения должника движимого имущества – плит, являющихся частью забора, и навеса, а также об обязании должника возвратить указанное имущество Балятину В.С Определением Арбитражного суда Чувашской Республики – Чувашии от 28.09.2020, оставленным без изменения постановлениями Первого арбитражного апелляционного суда от 26.01.2021 и Арбитражного суда Волго- Вятского округа от 13.04.2021,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223 и 301 Гражданского кодекса Российской Федерации, статьи 131 Федерального закона от 26.10.2002 № 127-ФЗ «О несостоятельности (банкротстве)», пришли к обоснованному выводу об отсутствии оснований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Балятину Владимиру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