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компания обратилась в суд с заявлением о включении в реестр требований кредиторов должника (далее – реестр) в размере 1 033 993 995 рублей 97 копеек. Определением Арбитражного суда города Москвы от 02.10.2020, оставленным без изменения постановлениями Девятого арбитражного апелляционного суда от 25.11.2020 и Арбитражного суда Московского округа от 26.02.2021,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спор, суды, руководствуясь статьями 1, 10 Гражданского кодекса Российской Федерации, статьями 100, 142 Федерального закона от 26.10.2002 № 127-ФЗ «О несостоятельности (банкротстве)», частью 1 статьи 44 Федерального закона от 29.12.2015 № 382-ФЗ «Об арбитраже (третейском разбирательстве) в Российской Федерации», обоснованно не установили оснований для удовлетворения заявления о включении в реестр заявленного требования.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компании «Ами Бонжур Лимитед» (Amy Bonheur Limited)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