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«Евролом» обратилось в суд с заявлением о признании должника несостоятельным (банкротом), а уступившее ему право требование к должнику общество с ограниченной ответственностью «Метэкс» – с ходатайством о вступлении в настоящее дело о банкротстве в качестве созаявителя. Определением Арбитражного суда Ростовской области от 17.11.2020, оставленным без изменения постановлениями Пятнадцатого арбитражного апелляционного суда от 31.12.2020 и Арбитражного суда Северо-Кавказского округа от 24.02.2021, в удовлетворении ходатайства общества «Метэкс» о вступлении в дело созаявителем отказано; во введении процедуры наблюдения отказано, заявление общества «Евролом»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оставляя заявление без рассмотрения, суды, руководствуясь статьями 7, 40, 48 Федерального закона от 26.10.2002 № 127-ФЗ «О несостоятельности (банкротстве)», пунктами 6, 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дела о банкротстве», исходили из того, что на момент подачи и рассмотрения его обоснованности не имелось судебного акта о процессуальном правопреемстве заявителя, в производстве суда имеются заявления иных кредиторов, возможность существования в деле о банкротстве созаявителей нормами законодательства о банкротстве не предусмотрена.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