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20.03.2020, оставленным без изменения постановлением Девятого арбитражного апелляционного суда от 02.11.2020 и постановлением Арбитражного суда Московского округа от 12.03.2021, исковые требования удовлетворены частично, с департамента в пользу общества взыскано 44 374 041 рублей задолженности, 2 548 249 рублей 25 копеек неустойки, а также неустойки, начисленной на сумму долга, начиная с 21.09.2019 по день фактической его уплаты, исходя из 1/300 ставки рефинансирования ЦБ РФ на день уплаты пени. В удовлетворении остальной части иска отказано. В кассационной жалобе, поданной в Верховный Суд Российской Федерации, ответчик, ссылаясь на существенное нарушение норм права, просит отменить судебные акты в удовлетворенной части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и департаментом 16.11.2019 заключен государственный контракт № 0173200001416001121-RST на выполнение подрядных работ по строительству объекта капитального строительства. Во исполнение условий контракта обществом 13.11.2018 и 29.11.2018 в адрес государственного заказчика направлены акты выполненных работ (КС-2), подписанные со стороны технического заказчика и генерального подрядчика и иные документы для оплаты работ в соответствии с пунктом 3.5 контракта на сумму 29 168 756 рублей 19 копеек и 17 540 760 рублей 65 копеек. Указанные документы государственным заказчиком не подписаны, оплата не произведена, мотивированный отказ обществу не поступал, что явилось основанием для обращения общества в арбитражный суд с иском. Оценив представленные в материалы дела доказательства, суды первой и апелляционной инстанций, руководствуясь положениями Гражданского 3 кодекса Российской Федерации, пришли к выводу о наличии правовых оснований для взыскания с ответчика задолженности и неустойки в заявленном размере, исходя из доказанности обстоятельств надлежащего выполнения истцом работ по государственному контракту. Доказательств обратного ответчиком не представлено, равно как и доказательств оплаты выполненных работ. Суд округа поддержал выводы судов первой и апелляционной инстанций. Доводы, изложенные в кассационной жалобе, повторяют позицию департамента, являлись предметом рассмотрения судов и не опровергают их выводы. Данные доводы не свидетельствуют о существенном нарушении судами норм материального и процессуального права, повлиявших на исход дела, и не могут быть признаны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строительства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