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03.09.2020, оставленным без изменения постановлением Седьмого арбитражного апелляционного суда от 16.11.2020 и постановлением Арбитражного суда Западно-Сибирского округа от 15.03.2021, иск удовлетворен. В кассационной жалобе общество «Разрез Тайлепский» просит о пересмотре судебных актов, ссылаясь на соответствие удержания договору и возникновение обязательства по оплате товара с момента вступления в законную силу решения о присуждении задолженности.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 и влияющие на ее размер, установлены судами в пределах компетенции и связанные с ними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Тайлепский»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