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31.08.2020, оставленным без изменения постановлением Шестого арбитражного апелляционного суда от 20.11.2020, взыскано 911 891 рубль 60 копеек убытков. Арбитражный суд Дальневосточного округа постановлением от 04.03.2021 решение от 31.08.2020 и постановление Шестого арбитражного апелляционного суда от 20.11.2020 оставил без изменения. В кассационной жалобе общество «Благоустройство Запсиба» просит об отмене судебных актов, ссылаясь на неправомерное получение с гаранта штрафа в размере не взысканной суммы.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банковская гарантия обеспечивала уплату истцом штрафа за ненадлежащее исполнение контракта, поэтому признали правомерным реализацию ответчиком гарантии на подлежавшую уплате сумму штрафа, исключающую взыскание с него полученной от гаранта суммы в силу статей 375.1, 15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«Благоустройство Запсиба»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